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ind w:firstLine="708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направлении информации о детском дорожно-транспортном травматизме за 1</w:t>
      </w:r>
      <w:r>
        <w:rPr>
          <w:b/>
          <w:bCs/>
          <w:sz w:val="28"/>
          <w:szCs w:val="28"/>
          <w:lang w:eastAsia="en-US"/>
        </w:rPr>
        <w:t xml:space="preserve">1</w:t>
      </w:r>
      <w:r>
        <w:rPr>
          <w:b/>
          <w:bCs/>
          <w:sz w:val="28"/>
          <w:szCs w:val="28"/>
          <w:lang w:eastAsia="en-US"/>
        </w:rPr>
        <w:t xml:space="preserve"> месяцев 2024</w:t>
      </w:r>
      <w:r>
        <w:rPr>
          <w:b/>
          <w:bCs/>
          <w:sz w:val="28"/>
          <w:szCs w:val="28"/>
          <w:lang w:eastAsia="en-US"/>
        </w:rPr>
        <w:t xml:space="preserve"> г.</w:t>
      </w:r>
      <w:r>
        <w:rPr>
          <w:b/>
          <w:bCs/>
          <w:sz w:val="28"/>
          <w:szCs w:val="28"/>
          <w:lang w:eastAsia="en-US"/>
        </w:rPr>
        <w:t xml:space="preserve">» </w:t>
      </w:r>
      <w:r>
        <w:rPr>
          <w:b/>
          <w:bCs/>
          <w:sz w:val="28"/>
          <w:szCs w:val="28"/>
          <w:lang w:eastAsia="en-US"/>
        </w:rPr>
        <w:t xml:space="preserve">направляет информацию о дорожно-транспортных происшествиях в регионе с участием несовершеннолетних</w:t>
      </w:r>
      <w:r>
        <w:rPr>
          <w:b/>
          <w:bCs/>
          <w:sz w:val="28"/>
          <w:szCs w:val="28"/>
        </w:rPr>
      </w:r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 за 1</w:t>
      </w:r>
      <w:r>
        <w:rPr>
          <w:b/>
          <w:bCs/>
          <w:sz w:val="28"/>
          <w:szCs w:val="28"/>
          <w:lang w:eastAsia="en-US"/>
        </w:rPr>
        <w:t xml:space="preserve">1</w:t>
      </w:r>
      <w:r>
        <w:rPr>
          <w:b/>
          <w:bCs/>
          <w:sz w:val="28"/>
          <w:szCs w:val="28"/>
          <w:lang w:eastAsia="en-US"/>
        </w:rPr>
        <w:t xml:space="preserve"> месяцев 2024 г. </w:t>
      </w:r>
      <w:r>
        <w:rPr>
          <w:b/>
          <w:bCs/>
        </w:rPr>
      </w:r>
      <w:r/>
    </w:p>
    <w:p>
      <w:pPr>
        <w:pStyle w:val="623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 указанный период на территории региона зарегистрировано увеличение на 9,3% (с 497 до 543) числа дорожно-транспортных происшествий с участием </w:t>
      </w:r>
      <w:r>
        <w:rPr>
          <w:sz w:val="28"/>
          <w:szCs w:val="28"/>
          <w:lang w:eastAsia="en-US"/>
        </w:rPr>
        <w:t xml:space="preserve">несовершеннолетних в возрасте до 16 лет, погибло шесть детей (-66,7%, с 18 до 6), число пострадавших увеличилось на 12,8% (с 545 до 615). </w:t>
      </w:r>
      <w:r>
        <w:rPr>
          <w:sz w:val="28"/>
          <w:szCs w:val="28"/>
          <w:lang w:eastAsia="en-US"/>
        </w:rPr>
      </w:r>
      <w:r/>
    </w:p>
    <w:p>
      <w:pPr>
        <w:pStyle w:val="623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Рост дорожно-транспортных происшествий допущен на территории 26 муниципальных и городских округов.</w:t>
      </w:r>
      <w:r>
        <w:rPr>
          <w:sz w:val="28"/>
          <w:szCs w:val="28"/>
          <w:lang w:eastAsia="en-US"/>
        </w:rPr>
      </w:r>
      <w:r/>
    </w:p>
    <w:p>
      <w:pPr>
        <w:pStyle w:val="623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Отмечается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рост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ДТП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участием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несовершеннолетних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городских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округах Нижний Новгород, Бор, Богородском и Шатковском муниципальных округах. Наблюдается рост на 6% (с 184 до 195) числа дорожных происшествий с </w:t>
      </w:r>
      <w:r>
        <w:rPr>
          <w:sz w:val="28"/>
          <w:szCs w:val="28"/>
          <w:lang w:eastAsia="en-US"/>
        </w:rPr>
        <w:t xml:space="preserve">участием детей-пешеходов. Рост подобных ДТП прослеживается в округах: г. Нижний Новгород, г. Дзержинск, г. Саров, Богородский, Большеболдинский, Вадский, Вачский, Воротынский, Воскресенский, Дальнеконстантиновский, Дивеевский, Кстовский, Павловский, Семено</w:t>
      </w:r>
      <w:r>
        <w:rPr>
          <w:sz w:val="28"/>
          <w:szCs w:val="28"/>
          <w:lang w:eastAsia="en-US"/>
        </w:rPr>
        <w:t xml:space="preserve">вский, Сергачский, Шатковский. При этом на 10,4% (с 67 до 74) увеличилось число автоаварий из-за неосторожного</w:t>
      </w:r>
      <w:r>
        <w:rPr>
          <w:sz w:val="28"/>
          <w:szCs w:val="28"/>
          <w:lang w:eastAsia="en-US"/>
        </w:rPr>
        <w:t xml:space="preserve"> поведения пешеходов, в которых 1 ребенок погиб, 78 несовершеннолетних пострадали. </w:t>
      </w:r>
      <w:r>
        <w:rPr>
          <w:sz w:val="28"/>
          <w:szCs w:val="28"/>
          <w:lang w:eastAsia="en-US"/>
        </w:rPr>
      </w:r>
      <w:r/>
    </w:p>
    <w:p>
      <w:pPr>
        <w:pStyle w:val="623"/>
        <w:ind w:firstLine="708"/>
        <w:jc w:val="both"/>
      </w:pPr>
      <w:r>
        <w:rPr>
          <w:sz w:val="28"/>
          <w:szCs w:val="28"/>
          <w:lang w:eastAsia="en-US"/>
        </w:rPr>
        <w:t xml:space="preserve">По итогам 11 месяцев 2024 г. зарегистрировано 44 дорожно-транспортных происшествия при нахождении детей на безопасных маршрутах «Дом-школа-дом».</w:t>
      </w:r>
      <w:r>
        <w:rPr>
          <w:sz w:val="28"/>
          <w:szCs w:val="28"/>
          <w:lang w:eastAsia="en-US"/>
        </w:rPr>
      </w:r>
      <w:r/>
    </w:p>
    <w:p>
      <w:pPr>
        <w:pStyle w:val="623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Наблюдается увеличение на 9,5% (с 199 до 218) числа аварий с участием детей-пассажиров. Ро</w:t>
      </w:r>
      <w:r>
        <w:rPr>
          <w:sz w:val="28"/>
          <w:szCs w:val="28"/>
          <w:lang w:eastAsia="en-US"/>
        </w:rPr>
        <w:t xml:space="preserve">ст подобных ДТП зафиксирован в округах: г. Нижний Новгород, г. Арзамас, г. Саров, г. Бор, г. Шахунья, г. Выкса, Богородском, Большемурашкинском,Вознесенском,Воскресенском,Городецком,Дивеевском, Княгининском, Краснобаковском, Краснооктябрьском, Лысковском, </w:t>
      </w:r>
      <w:r>
        <w:rPr>
          <w:sz w:val="28"/>
          <w:szCs w:val="28"/>
          <w:lang w:eastAsia="en-US"/>
        </w:rPr>
        <w:t xml:space="preserve">Навашинском, Павловском, Пильнинском, Сергачском, Сокольском, Сосновском, Спасском, Тоншаевском, Шатковском. </w:t>
      </w:r>
      <w:r>
        <w:rPr>
          <w:sz w:val="28"/>
          <w:szCs w:val="28"/>
          <w:lang w:eastAsia="en-US"/>
        </w:rPr>
      </w:r>
      <w:r/>
    </w:p>
    <w:p>
      <w:pPr>
        <w:pStyle w:val="623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Кроме того, в 33 автоавариях несовершеннолетние пассажиры получили травмы в результате нарушения требований к их перевозке. </w:t>
      </w:r>
      <w:r>
        <w:rPr>
          <w:sz w:val="28"/>
          <w:szCs w:val="28"/>
          <w:lang w:eastAsia="en-US"/>
        </w:rPr>
      </w:r>
      <w:r/>
    </w:p>
    <w:p>
      <w:pPr>
        <w:pStyle w:val="623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 истекший период произошло 56 ДТП с участием несовершеннолетних велосипедистов, в которых 1 ребенок погиб, 56 подростков получили травмы. </w:t>
      </w:r>
      <w:r>
        <w:rPr>
          <w:sz w:val="28"/>
          <w:szCs w:val="28"/>
          <w:lang w:eastAsia="en-US"/>
        </w:rPr>
      </w:r>
      <w:r/>
    </w:p>
    <w:p>
      <w:pPr>
        <w:pStyle w:val="623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отчетном периоде отмечен рост автоаварий с участием несовершеннолетних водителей на 20,3% (с 79 до 95 ДТП). Зарегистрировано 82 происшествия, в результате которых 1 ребенок погиб, 83 подростка получили травмы. </w:t>
      </w:r>
      <w:r>
        <w:rPr>
          <w:sz w:val="28"/>
          <w:szCs w:val="28"/>
          <w:lang w:eastAsia="en-US"/>
        </w:rPr>
      </w:r>
      <w:r/>
    </w:p>
    <w:p>
      <w:pPr>
        <w:pStyle w:val="623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Количество ДТП по неосторожности детей увеличилось на 21,1% (с 161 до 195), погибло 2 детей. Число пострадавших детей также увеличилось на 25,2% (с 163 до 204). Рост подобных происшествий наблюдается в округах: г. Нижний Новгород, г. Дзержинск, г. Саров, г</w:t>
      </w:r>
      <w:r>
        <w:rPr>
          <w:sz w:val="28"/>
          <w:szCs w:val="28"/>
          <w:lang w:eastAsia="en-US"/>
        </w:rPr>
        <w:t xml:space="preserve">. Арзамас, г. Бор, г. Кулебаки, г. Чкаловск, Ардатовский, Балахнинский, Богородский, Большеболдинский, Вадский, Вачский, Воскресенский, Гагинский, Дивеевский, Краснобаковский, Кстовский, Лысковский, Навашинский, Павловский, Пильнинский, Семеновский, Сергач</w:t>
      </w:r>
      <w:r>
        <w:rPr>
          <w:sz w:val="28"/>
          <w:szCs w:val="28"/>
          <w:lang w:eastAsia="en-US"/>
        </w:rPr>
        <w:t xml:space="preserve">ский, Уренский, Шатковский.</w:t>
      </w:r>
      <w:r>
        <w:rPr>
          <w:sz w:val="28"/>
          <w:szCs w:val="28"/>
          <w:lang w:eastAsia="en-US"/>
        </w:rPr>
      </w:r>
      <w:r/>
    </w:p>
    <w:p>
      <w:pPr>
        <w:pStyle w:val="623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целях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повышения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качества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проводимой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работы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профилактике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детского дорожно-транспортного травматизма, </w:t>
      </w:r>
      <w:r>
        <w:rPr>
          <w:sz w:val="28"/>
          <w:szCs w:val="28"/>
          <w:lang w:eastAsia="en-US"/>
        </w:rPr>
        <w:t xml:space="preserve">необходимо</w:t>
      </w:r>
      <w:r>
        <w:rPr>
          <w:sz w:val="28"/>
          <w:szCs w:val="28"/>
          <w:lang w:eastAsia="en-US"/>
        </w:rPr>
        <w:t xml:space="preserve">:</w:t>
      </w:r>
      <w:r>
        <w:rPr>
          <w:sz w:val="28"/>
          <w:szCs w:val="28"/>
          <w:lang w:eastAsia="en-US"/>
        </w:rPr>
      </w:r>
      <w:r/>
    </w:p>
    <w:p>
      <w:pPr>
        <w:pStyle w:val="623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1. Довести информацию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специалистов, отвечающих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за профилактику детского дорожно-транспортного травматизма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организаци</w:t>
      </w:r>
      <w:r>
        <w:rPr>
          <w:sz w:val="28"/>
          <w:szCs w:val="28"/>
          <w:lang w:eastAsia="en-US"/>
        </w:rPr>
        <w:t xml:space="preserve">и</w:t>
      </w:r>
      <w:r>
        <w:rPr>
          <w:sz w:val="28"/>
          <w:szCs w:val="28"/>
          <w:lang w:eastAsia="en-US"/>
        </w:rPr>
        <w:t xml:space="preserve"> с целью активизации работы с родителями и детьми. </w:t>
      </w:r>
      <w:r>
        <w:rPr>
          <w:sz w:val="28"/>
          <w:szCs w:val="28"/>
          <w:lang w:eastAsia="en-US"/>
        </w:rPr>
        <w:t xml:space="preserve"> </w:t>
      </w:r>
      <w:r/>
    </w:p>
    <w:p>
      <w:pPr>
        <w:pStyle w:val="623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Активизировать работу по профилактике </w:t>
      </w:r>
      <w:r>
        <w:rPr>
          <w:sz w:val="28"/>
          <w:szCs w:val="28"/>
          <w:lang w:eastAsia="en-US"/>
        </w:rPr>
        <w:t xml:space="preserve">детского </w:t>
      </w:r>
      <w:r>
        <w:rPr>
          <w:sz w:val="28"/>
          <w:szCs w:val="28"/>
          <w:lang w:eastAsia="en-US"/>
        </w:rPr>
        <w:t xml:space="preserve">дорожно-транспортного травматизма с родителями и детьми. </w:t>
      </w:r>
      <w:r>
        <w:rPr>
          <w:sz w:val="28"/>
          <w:szCs w:val="28"/>
          <w:lang w:eastAsia="en-US"/>
        </w:rPr>
      </w:r>
      <w:r/>
    </w:p>
    <w:p>
      <w:pPr>
        <w:pStyle w:val="623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Проработать вопрос информирования несовершеннолетних о несчастных случаях, произошедших с детьми в результате дорожно-транспортных происшествий с приведением конкретных примеров. </w:t>
      </w:r>
      <w:r>
        <w:rPr>
          <w:sz w:val="28"/>
          <w:szCs w:val="28"/>
          <w:lang w:eastAsia="en-US"/>
        </w:rPr>
      </w:r>
      <w:r/>
    </w:p>
    <w:p>
      <w:pPr>
        <w:pStyle w:val="623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зять на контроль размещение статистики ав</w:t>
      </w:r>
      <w:r>
        <w:rPr>
          <w:sz w:val="28"/>
          <w:szCs w:val="28"/>
          <w:lang w:eastAsia="en-US"/>
        </w:rPr>
        <w:t xml:space="preserve">арийности в родительских чатах, на сайт</w:t>
      </w:r>
      <w:r>
        <w:rPr>
          <w:sz w:val="28"/>
          <w:szCs w:val="28"/>
          <w:lang w:eastAsia="en-US"/>
        </w:rPr>
        <w:t xml:space="preserve">е</w:t>
      </w:r>
      <w:r>
        <w:rPr>
          <w:sz w:val="28"/>
          <w:szCs w:val="28"/>
          <w:lang w:eastAsia="en-US"/>
        </w:rPr>
        <w:t xml:space="preserve"> образовательн</w:t>
      </w:r>
      <w:r>
        <w:rPr>
          <w:sz w:val="28"/>
          <w:szCs w:val="28"/>
          <w:lang w:eastAsia="en-US"/>
        </w:rPr>
        <w:t xml:space="preserve">ой</w:t>
      </w:r>
      <w:r>
        <w:rPr>
          <w:sz w:val="28"/>
          <w:szCs w:val="28"/>
          <w:lang w:eastAsia="en-US"/>
        </w:rPr>
        <w:t xml:space="preserve"> организаци</w:t>
      </w:r>
      <w:r>
        <w:rPr>
          <w:sz w:val="28"/>
          <w:szCs w:val="28"/>
          <w:lang w:eastAsia="en-US"/>
        </w:rPr>
        <w:t xml:space="preserve">и</w:t>
      </w:r>
      <w:r>
        <w:rPr>
          <w:sz w:val="28"/>
          <w:szCs w:val="28"/>
          <w:lang w:eastAsia="en-US"/>
        </w:rPr>
        <w:t xml:space="preserve">, на родительских собраниях и минутках безопасности. Обратить особое внимание родителей на недопущение несовершеннолетних к управлению транспортными средствами.</w:t>
      </w:r>
      <w:r>
        <w:rPr>
          <w:sz w:val="28"/>
          <w:szCs w:val="28"/>
          <w:lang w:eastAsia="en-US"/>
        </w:rPr>
      </w:r>
      <w:r/>
    </w:p>
    <w:p>
      <w:pPr>
        <w:pStyle w:val="623"/>
        <w:jc w:val="both"/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623"/>
        <w:jc w:val="both"/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623"/>
        <w:jc w:val="both"/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sectPr>
      <w:footnotePr/>
      <w:endnotePr/>
      <w:type w:val="nextPage"/>
      <w:pgSz w:w="11900" w:h="16840" w:orient="portrait"/>
      <w:pgMar w:top="1134" w:right="567" w:bottom="1134" w:left="1134" w:header="136" w:footer="3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mbria">
    <w:panose1 w:val="02040503050406030204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23"/>
        <w:ind w:left="143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3"/>
        <w:ind w:left="215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3"/>
        <w:ind w:left="287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3"/>
        <w:ind w:left="359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3"/>
        <w:ind w:left="431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3"/>
        <w:ind w:left="503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3"/>
        <w:ind w:left="575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3"/>
        <w:ind w:left="647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3"/>
        <w:ind w:left="719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2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3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3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3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3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3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23"/>
      </w:pPr>
    </w:lvl>
    <w:lvl w:ilvl="2">
      <w:start w:val="0"/>
      <w:numFmt w:val="decimal"/>
      <w:isLgl w:val="false"/>
      <w:suff w:val="tab"/>
      <w:lvlText w:val=""/>
      <w:lvlJc w:val="left"/>
      <w:pPr>
        <w:pStyle w:val="623"/>
      </w:pPr>
    </w:lvl>
    <w:lvl w:ilvl="3">
      <w:start w:val="0"/>
      <w:numFmt w:val="decimal"/>
      <w:isLgl w:val="false"/>
      <w:suff w:val="tab"/>
      <w:lvlText w:val=""/>
      <w:lvlJc w:val="left"/>
      <w:pPr>
        <w:pStyle w:val="623"/>
      </w:pPr>
    </w:lvl>
    <w:lvl w:ilvl="4">
      <w:start w:val="0"/>
      <w:numFmt w:val="decimal"/>
      <w:isLgl w:val="false"/>
      <w:suff w:val="tab"/>
      <w:lvlText w:val=""/>
      <w:lvlJc w:val="left"/>
      <w:pPr>
        <w:pStyle w:val="623"/>
      </w:pPr>
    </w:lvl>
    <w:lvl w:ilvl="5">
      <w:start w:val="0"/>
      <w:numFmt w:val="decimal"/>
      <w:isLgl w:val="false"/>
      <w:suff w:val="tab"/>
      <w:lvlText w:val=""/>
      <w:lvlJc w:val="left"/>
      <w:pPr>
        <w:pStyle w:val="623"/>
      </w:pPr>
    </w:lvl>
    <w:lvl w:ilvl="6">
      <w:start w:val="0"/>
      <w:numFmt w:val="decimal"/>
      <w:isLgl w:val="false"/>
      <w:suff w:val="tab"/>
      <w:lvlText w:val=""/>
      <w:lvlJc w:val="left"/>
      <w:pPr>
        <w:pStyle w:val="623"/>
      </w:pPr>
    </w:lvl>
    <w:lvl w:ilvl="7">
      <w:start w:val="0"/>
      <w:numFmt w:val="decimal"/>
      <w:isLgl w:val="false"/>
      <w:suff w:val="tab"/>
      <w:lvlText w:val=""/>
      <w:lvlJc w:val="left"/>
      <w:pPr>
        <w:pStyle w:val="623"/>
      </w:pPr>
    </w:lvl>
    <w:lvl w:ilvl="8">
      <w:start w:val="0"/>
      <w:numFmt w:val="decimal"/>
      <w:isLgl w:val="false"/>
      <w:suff w:val="tab"/>
      <w:lvlText w:val=""/>
      <w:lvlJc w:val="left"/>
      <w:pPr>
        <w:pStyle w:val="623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3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pStyle w:val="623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0"/>
      <w:numFmt w:val="decimal"/>
      <w:isLgl w:val="false"/>
      <w:suff w:val="tab"/>
      <w:lvlText w:val=""/>
      <w:lvlJc w:val="left"/>
      <w:pPr>
        <w:pStyle w:val="623"/>
      </w:pPr>
    </w:lvl>
    <w:lvl w:ilvl="3">
      <w:start w:val="0"/>
      <w:numFmt w:val="decimal"/>
      <w:isLgl w:val="false"/>
      <w:suff w:val="tab"/>
      <w:lvlText w:val=""/>
      <w:lvlJc w:val="left"/>
      <w:pPr>
        <w:pStyle w:val="623"/>
      </w:pPr>
    </w:lvl>
    <w:lvl w:ilvl="4">
      <w:start w:val="0"/>
      <w:numFmt w:val="decimal"/>
      <w:isLgl w:val="false"/>
      <w:suff w:val="tab"/>
      <w:lvlText w:val=""/>
      <w:lvlJc w:val="left"/>
      <w:pPr>
        <w:pStyle w:val="623"/>
      </w:pPr>
    </w:lvl>
    <w:lvl w:ilvl="5">
      <w:start w:val="0"/>
      <w:numFmt w:val="decimal"/>
      <w:isLgl w:val="false"/>
      <w:suff w:val="tab"/>
      <w:lvlText w:val=""/>
      <w:lvlJc w:val="left"/>
      <w:pPr>
        <w:pStyle w:val="623"/>
      </w:pPr>
    </w:lvl>
    <w:lvl w:ilvl="6">
      <w:start w:val="0"/>
      <w:numFmt w:val="decimal"/>
      <w:isLgl w:val="false"/>
      <w:suff w:val="tab"/>
      <w:lvlText w:val=""/>
      <w:lvlJc w:val="left"/>
      <w:pPr>
        <w:pStyle w:val="623"/>
      </w:pPr>
    </w:lvl>
    <w:lvl w:ilvl="7">
      <w:start w:val="0"/>
      <w:numFmt w:val="decimal"/>
      <w:isLgl w:val="false"/>
      <w:suff w:val="tab"/>
      <w:lvlText w:val=""/>
      <w:lvlJc w:val="left"/>
      <w:pPr>
        <w:pStyle w:val="623"/>
      </w:pPr>
    </w:lvl>
    <w:lvl w:ilvl="8">
      <w:start w:val="0"/>
      <w:numFmt w:val="decimal"/>
      <w:isLgl w:val="false"/>
      <w:suff w:val="tab"/>
      <w:lvlText w:val=""/>
      <w:lvlJc w:val="left"/>
      <w:pPr>
        <w:pStyle w:val="623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23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23"/>
      </w:pPr>
    </w:lvl>
    <w:lvl w:ilvl="2">
      <w:start w:val="0"/>
      <w:numFmt w:val="decimal"/>
      <w:isLgl w:val="false"/>
      <w:suff w:val="tab"/>
      <w:lvlText w:val=""/>
      <w:lvlJc w:val="left"/>
      <w:pPr>
        <w:pStyle w:val="623"/>
      </w:pPr>
    </w:lvl>
    <w:lvl w:ilvl="3">
      <w:start w:val="0"/>
      <w:numFmt w:val="decimal"/>
      <w:isLgl w:val="false"/>
      <w:suff w:val="tab"/>
      <w:lvlText w:val=""/>
      <w:lvlJc w:val="left"/>
      <w:pPr>
        <w:pStyle w:val="623"/>
      </w:pPr>
    </w:lvl>
    <w:lvl w:ilvl="4">
      <w:start w:val="0"/>
      <w:numFmt w:val="decimal"/>
      <w:isLgl w:val="false"/>
      <w:suff w:val="tab"/>
      <w:lvlText w:val=""/>
      <w:lvlJc w:val="left"/>
      <w:pPr>
        <w:pStyle w:val="623"/>
      </w:pPr>
    </w:lvl>
    <w:lvl w:ilvl="5">
      <w:start w:val="0"/>
      <w:numFmt w:val="decimal"/>
      <w:isLgl w:val="false"/>
      <w:suff w:val="tab"/>
      <w:lvlText w:val=""/>
      <w:lvlJc w:val="left"/>
      <w:pPr>
        <w:pStyle w:val="623"/>
      </w:pPr>
    </w:lvl>
    <w:lvl w:ilvl="6">
      <w:start w:val="0"/>
      <w:numFmt w:val="decimal"/>
      <w:isLgl w:val="false"/>
      <w:suff w:val="tab"/>
      <w:lvlText w:val=""/>
      <w:lvlJc w:val="left"/>
      <w:pPr>
        <w:pStyle w:val="623"/>
      </w:pPr>
    </w:lvl>
    <w:lvl w:ilvl="7">
      <w:start w:val="0"/>
      <w:numFmt w:val="decimal"/>
      <w:isLgl w:val="false"/>
      <w:suff w:val="tab"/>
      <w:lvlText w:val=""/>
      <w:lvlJc w:val="left"/>
      <w:pPr>
        <w:pStyle w:val="623"/>
      </w:pPr>
    </w:lvl>
    <w:lvl w:ilvl="8">
      <w:start w:val="0"/>
      <w:numFmt w:val="decimal"/>
      <w:isLgl w:val="false"/>
      <w:suff w:val="tab"/>
      <w:lvlText w:val=""/>
      <w:lvlJc w:val="left"/>
      <w:pPr>
        <w:pStyle w:val="623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3"/>
        <w:ind w:left="11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3"/>
        <w:ind w:left="18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3"/>
        <w:ind w:left="25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3"/>
        <w:ind w:left="32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3"/>
        <w:ind w:left="40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3"/>
        <w:ind w:left="47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3"/>
        <w:ind w:left="54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3"/>
        <w:ind w:left="61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3"/>
        <w:ind w:left="68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2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3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3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3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3"/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23"/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3"/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3"/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3"/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3"/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3"/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3"/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3"/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3"/>
        <w:ind w:left="7188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3"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10"/>
        <w:position w:val="0"/>
        <w:sz w:val="25"/>
        <w:szCs w:val="25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23"/>
      </w:pPr>
    </w:lvl>
    <w:lvl w:ilvl="2">
      <w:start w:val="0"/>
      <w:numFmt w:val="decimal"/>
      <w:isLgl w:val="false"/>
      <w:suff w:val="tab"/>
      <w:lvlText w:val=""/>
      <w:lvlJc w:val="left"/>
      <w:pPr>
        <w:pStyle w:val="623"/>
      </w:pPr>
    </w:lvl>
    <w:lvl w:ilvl="3">
      <w:start w:val="0"/>
      <w:numFmt w:val="decimal"/>
      <w:isLgl w:val="false"/>
      <w:suff w:val="tab"/>
      <w:lvlText w:val=""/>
      <w:lvlJc w:val="left"/>
      <w:pPr>
        <w:pStyle w:val="623"/>
      </w:pPr>
    </w:lvl>
    <w:lvl w:ilvl="4">
      <w:start w:val="0"/>
      <w:numFmt w:val="decimal"/>
      <w:isLgl w:val="false"/>
      <w:suff w:val="tab"/>
      <w:lvlText w:val=""/>
      <w:lvlJc w:val="left"/>
      <w:pPr>
        <w:pStyle w:val="623"/>
      </w:pPr>
    </w:lvl>
    <w:lvl w:ilvl="5">
      <w:start w:val="0"/>
      <w:numFmt w:val="decimal"/>
      <w:isLgl w:val="false"/>
      <w:suff w:val="tab"/>
      <w:lvlText w:val=""/>
      <w:lvlJc w:val="left"/>
      <w:pPr>
        <w:pStyle w:val="623"/>
      </w:pPr>
    </w:lvl>
    <w:lvl w:ilvl="6">
      <w:start w:val="0"/>
      <w:numFmt w:val="decimal"/>
      <w:isLgl w:val="false"/>
      <w:suff w:val="tab"/>
      <w:lvlText w:val=""/>
      <w:lvlJc w:val="left"/>
      <w:pPr>
        <w:pStyle w:val="623"/>
      </w:pPr>
    </w:lvl>
    <w:lvl w:ilvl="7">
      <w:start w:val="0"/>
      <w:numFmt w:val="decimal"/>
      <w:isLgl w:val="false"/>
      <w:suff w:val="tab"/>
      <w:lvlText w:val=""/>
      <w:lvlJc w:val="left"/>
      <w:pPr>
        <w:pStyle w:val="623"/>
      </w:pPr>
    </w:lvl>
    <w:lvl w:ilvl="8">
      <w:start w:val="0"/>
      <w:numFmt w:val="decimal"/>
      <w:isLgl w:val="false"/>
      <w:suff w:val="tab"/>
      <w:lvlText w:val=""/>
      <w:lvlJc w:val="left"/>
      <w:pPr>
        <w:pStyle w:val="623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2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3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3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3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3"/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3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3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3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3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3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3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3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3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3"/>
        <w:ind w:left="668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3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3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3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3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3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3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3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3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3"/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3"/>
        <w:ind w:left="1160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pStyle w:val="623"/>
        <w:ind w:left="188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23"/>
        <w:ind w:left="2240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23"/>
        <w:ind w:left="2960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23"/>
        <w:ind w:left="332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23"/>
        <w:ind w:left="4040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23"/>
        <w:ind w:left="4760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23"/>
        <w:ind w:left="5120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23"/>
        <w:ind w:left="5840" w:hanging="2160"/>
      </w:pPr>
      <w:rPr>
        <w:color w:val="00000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10"/>
  </w:num>
  <w:num w:numId="7">
    <w:abstractNumId w:val="0"/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3"/>
    <w:next w:val="62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3"/>
    <w:next w:val="62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3"/>
    <w:next w:val="62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3"/>
    <w:next w:val="62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3"/>
    <w:next w:val="62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3"/>
    <w:next w:val="62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3"/>
    <w:next w:val="62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3"/>
    <w:next w:val="62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3"/>
    <w:next w:val="62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2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3"/>
    <w:next w:val="62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23"/>
    <w:next w:val="62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23"/>
    <w:next w:val="62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3"/>
    <w:next w:val="62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23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2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next w:val="623"/>
    <w:link w:val="623"/>
    <w:qFormat/>
    <w:rPr>
      <w:sz w:val="24"/>
      <w:szCs w:val="24"/>
      <w:lang w:val="ru-RU" w:eastAsia="ru-RU" w:bidi="ar-SA"/>
    </w:rPr>
  </w:style>
  <w:style w:type="paragraph" w:styleId="624">
    <w:name w:val="Заголовок 1"/>
    <w:basedOn w:val="623"/>
    <w:next w:val="623"/>
    <w:link w:val="623"/>
    <w:qFormat/>
    <w:pPr>
      <w:jc w:val="center"/>
      <w:keepNext/>
      <w:widowControl w:val="off"/>
      <w:outlineLvl w:val="0"/>
    </w:pPr>
    <w:rPr>
      <w:b/>
      <w:szCs w:val="20"/>
    </w:rPr>
  </w:style>
  <w:style w:type="character" w:styleId="625">
    <w:name w:val="Основной шрифт абзаца"/>
    <w:next w:val="625"/>
    <w:link w:val="623"/>
    <w:semiHidden/>
  </w:style>
  <w:style w:type="table" w:styleId="626">
    <w:name w:val="Обычная таблица"/>
    <w:next w:val="626"/>
    <w:link w:val="623"/>
    <w:semiHidden/>
    <w:tblPr/>
  </w:style>
  <w:style w:type="numbering" w:styleId="627">
    <w:name w:val="Нет списка"/>
    <w:next w:val="627"/>
    <w:link w:val="623"/>
    <w:semiHidden/>
  </w:style>
  <w:style w:type="character" w:styleId="628">
    <w:name w:val="Гиперссылка"/>
    <w:next w:val="628"/>
    <w:link w:val="623"/>
    <w:rPr>
      <w:color w:val="0000ff"/>
      <w:u w:val="single"/>
    </w:rPr>
  </w:style>
  <w:style w:type="paragraph" w:styleId="629">
    <w:name w:val="Style8"/>
    <w:basedOn w:val="623"/>
    <w:next w:val="629"/>
    <w:link w:val="623"/>
    <w:pPr>
      <w:widowControl w:val="off"/>
    </w:pPr>
  </w:style>
  <w:style w:type="character" w:styleId="630">
    <w:name w:val="Font Style32"/>
    <w:next w:val="630"/>
    <w:link w:val="623"/>
    <w:rPr>
      <w:rFonts w:ascii="Times New Roman" w:hAnsi="Times New Roman" w:cs="Times New Roman"/>
      <w:b/>
      <w:bCs/>
      <w:sz w:val="26"/>
      <w:szCs w:val="26"/>
    </w:rPr>
  </w:style>
  <w:style w:type="character" w:styleId="631">
    <w:name w:val="Основной текст2"/>
    <w:next w:val="631"/>
    <w:link w:val="623"/>
    <w:rPr>
      <w:color w:val="000000"/>
      <w:spacing w:val="0"/>
      <w:position w:val="0"/>
      <w:sz w:val="26"/>
      <w:szCs w:val="26"/>
      <w:lang w:val="ru-RU" w:bidi="ar-SA"/>
    </w:rPr>
  </w:style>
  <w:style w:type="character" w:styleId="632">
    <w:name w:val="Основной текст_"/>
    <w:next w:val="632"/>
    <w:link w:val="637"/>
    <w:rPr>
      <w:sz w:val="25"/>
      <w:szCs w:val="25"/>
      <w:lang w:bidi="ar-SA"/>
    </w:rPr>
  </w:style>
  <w:style w:type="character" w:styleId="633">
    <w:name w:val="Основной текст1"/>
    <w:next w:val="633"/>
    <w:link w:val="623"/>
    <w:rPr>
      <w:color w:val="000000"/>
      <w:spacing w:val="0"/>
      <w:position w:val="0"/>
      <w:sz w:val="25"/>
      <w:szCs w:val="25"/>
      <w:lang w:val="ru-RU" w:bidi="ar-SA"/>
    </w:rPr>
  </w:style>
  <w:style w:type="character" w:styleId="634">
    <w:name w:val="Основной текст (4)_"/>
    <w:next w:val="634"/>
    <w:link w:val="623"/>
    <w:rPr>
      <w:rFonts w:ascii="Times New Roman" w:hAnsi="Times New Roman" w:eastAsia="Times New Roman" w:cs="Times New Roman"/>
      <w:b/>
      <w:bCs/>
      <w:spacing w:val="10"/>
      <w:sz w:val="25"/>
      <w:szCs w:val="25"/>
      <w:u w:val="none"/>
    </w:rPr>
  </w:style>
  <w:style w:type="character" w:styleId="635">
    <w:name w:val="Основной текст (4)"/>
    <w:next w:val="635"/>
    <w:link w:val="623"/>
    <w:rPr>
      <w:rFonts w:ascii="Times New Roman" w:hAnsi="Times New Roman" w:eastAsia="Times New Roman" w:cs="Times New Roman"/>
      <w:b/>
      <w:bCs/>
      <w:color w:val="000000"/>
      <w:spacing w:val="10"/>
      <w:position w:val="0"/>
      <w:sz w:val="25"/>
      <w:szCs w:val="25"/>
      <w:u w:val="none"/>
      <w:lang w:val="ru-RU"/>
    </w:rPr>
  </w:style>
  <w:style w:type="character" w:styleId="636">
    <w:name w:val="Основной текст + Полужирный;Интервал 0 pt"/>
    <w:next w:val="636"/>
    <w:link w:val="623"/>
    <w:rPr>
      <w:b/>
      <w:bCs/>
      <w:color w:val="000000"/>
      <w:spacing w:val="10"/>
      <w:position w:val="0"/>
      <w:sz w:val="25"/>
      <w:szCs w:val="25"/>
      <w:lang w:val="ru-RU" w:bidi="ar-SA"/>
    </w:rPr>
  </w:style>
  <w:style w:type="paragraph" w:styleId="637">
    <w:name w:val="Основной текст3"/>
    <w:basedOn w:val="623"/>
    <w:next w:val="637"/>
    <w:link w:val="632"/>
    <w:pPr>
      <w:jc w:val="both"/>
      <w:spacing w:line="322" w:lineRule="exact"/>
      <w:shd w:val="clear" w:color="auto" w:fill="ffffff"/>
      <w:widowControl w:val="off"/>
    </w:pPr>
    <w:rPr>
      <w:sz w:val="25"/>
      <w:szCs w:val="25"/>
      <w:lang w:val="en-US" w:eastAsia="en-US"/>
    </w:rPr>
  </w:style>
  <w:style w:type="paragraph" w:styleId="638">
    <w:name w:val=" Знак"/>
    <w:basedOn w:val="623"/>
    <w:next w:val="638"/>
    <w:link w:val="6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639">
    <w:name w:val="Сетка таблицы"/>
    <w:basedOn w:val="626"/>
    <w:next w:val="639"/>
    <w:link w:val="623"/>
    <w:tblPr/>
  </w:style>
  <w:style w:type="paragraph" w:styleId="640">
    <w:name w:val="Текст выноски"/>
    <w:basedOn w:val="623"/>
    <w:next w:val="640"/>
    <w:link w:val="641"/>
    <w:rPr>
      <w:rFonts w:ascii="Tahoma" w:hAnsi="Tahoma"/>
      <w:sz w:val="16"/>
      <w:szCs w:val="16"/>
      <w:lang w:val="en-US" w:eastAsia="en-US"/>
    </w:rPr>
  </w:style>
  <w:style w:type="character" w:styleId="641">
    <w:name w:val="Текст выноски Знак"/>
    <w:next w:val="641"/>
    <w:link w:val="640"/>
    <w:rPr>
      <w:rFonts w:ascii="Tahoma" w:hAnsi="Tahoma" w:cs="Tahoma"/>
      <w:sz w:val="16"/>
      <w:szCs w:val="16"/>
    </w:rPr>
  </w:style>
  <w:style w:type="paragraph" w:styleId="642">
    <w:name w:val="Default"/>
    <w:next w:val="642"/>
    <w:link w:val="623"/>
    <w:rPr>
      <w:rFonts w:eastAsia="Calibri"/>
      <w:color w:val="000000"/>
      <w:sz w:val="24"/>
      <w:szCs w:val="24"/>
      <w:lang w:val="ru-RU" w:eastAsia="en-US" w:bidi="ar-SA"/>
    </w:rPr>
  </w:style>
  <w:style w:type="table" w:styleId="643">
    <w:name w:val="Table Normal"/>
    <w:next w:val="643"/>
    <w:link w:val="623"/>
    <w:uiPriority w:val="2"/>
    <w:semiHidden/>
    <w:unhideWhenUsed/>
    <w:qFormat/>
    <w:pPr>
      <w:widowControl w:val="off"/>
    </w:pPr>
    <w:rPr>
      <w:rFonts w:ascii="Calibri" w:hAnsi="Calibri" w:eastAsia="Calibri"/>
      <w:sz w:val="22"/>
      <w:szCs w:val="22"/>
      <w:lang w:val="en-US" w:eastAsia="en-US" w:bidi="ar-SA"/>
    </w:rPr>
    <w:tblPr/>
  </w:style>
  <w:style w:type="paragraph" w:styleId="644">
    <w:name w:val="Table Paragraph"/>
    <w:basedOn w:val="623"/>
    <w:next w:val="644"/>
    <w:link w:val="623"/>
    <w:qFormat/>
    <w:pPr>
      <w:widowControl w:val="off"/>
    </w:pPr>
    <w:rPr>
      <w:sz w:val="22"/>
      <w:szCs w:val="22"/>
      <w:lang w:bidi="ru-RU"/>
    </w:rPr>
  </w:style>
  <w:style w:type="paragraph" w:styleId="645">
    <w:name w:val="Подзаголовок"/>
    <w:basedOn w:val="623"/>
    <w:next w:val="623"/>
    <w:link w:val="646"/>
    <w:qFormat/>
    <w:pPr>
      <w:jc w:val="center"/>
      <w:spacing w:after="60"/>
      <w:outlineLvl w:val="1"/>
    </w:pPr>
    <w:rPr>
      <w:rFonts w:ascii="Cambria" w:hAnsi="Cambria"/>
      <w:lang w:val="en-US" w:eastAsia="en-US"/>
    </w:rPr>
  </w:style>
  <w:style w:type="character" w:styleId="646">
    <w:name w:val="Подзаголовок Знак"/>
    <w:next w:val="646"/>
    <w:link w:val="645"/>
    <w:rPr>
      <w:rFonts w:ascii="Cambria" w:hAnsi="Cambria" w:eastAsia="Times New Roman" w:cs="Times New Roman"/>
      <w:sz w:val="24"/>
      <w:szCs w:val="24"/>
    </w:rPr>
  </w:style>
  <w:style w:type="paragraph" w:styleId="647">
    <w:name w:val="Основной текст"/>
    <w:basedOn w:val="623"/>
    <w:next w:val="647"/>
    <w:link w:val="648"/>
    <w:uiPriority w:val="1"/>
    <w:qFormat/>
    <w:pPr>
      <w:widowControl w:val="off"/>
    </w:pPr>
    <w:rPr>
      <w:sz w:val="28"/>
      <w:szCs w:val="28"/>
      <w:lang w:val="en-US" w:eastAsia="en-US"/>
    </w:rPr>
  </w:style>
  <w:style w:type="character" w:styleId="648">
    <w:name w:val="Основной текст Знак"/>
    <w:next w:val="648"/>
    <w:link w:val="647"/>
    <w:uiPriority w:val="1"/>
    <w:rPr>
      <w:sz w:val="28"/>
      <w:szCs w:val="28"/>
      <w:lang w:eastAsia="en-US"/>
    </w:rPr>
  </w:style>
  <w:style w:type="character" w:styleId="649">
    <w:name w:val="freebirdformviewercomponentsquestionbaserequiredasterisk"/>
    <w:next w:val="649"/>
    <w:link w:val="623"/>
  </w:style>
  <w:style w:type="character" w:styleId="650">
    <w:name w:val="Просмотренная гиперссылка"/>
    <w:next w:val="650"/>
    <w:link w:val="623"/>
    <w:rPr>
      <w:color w:val="800080"/>
      <w:u w:val="single"/>
    </w:rPr>
  </w:style>
  <w:style w:type="character" w:styleId="651">
    <w:name w:val="Основной текст (2) + Полужирный"/>
    <w:next w:val="651"/>
    <w:link w:val="623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652">
    <w:name w:val="Основной текст (2)_"/>
    <w:next w:val="652"/>
    <w:link w:val="653"/>
    <w:rPr>
      <w:shd w:val="clear" w:color="auto" w:fill="ffffff"/>
    </w:rPr>
  </w:style>
  <w:style w:type="paragraph" w:styleId="653">
    <w:name w:val="Основной текст (2)"/>
    <w:basedOn w:val="623"/>
    <w:next w:val="653"/>
    <w:link w:val="652"/>
    <w:pPr>
      <w:jc w:val="center"/>
      <w:spacing w:line="317" w:lineRule="exact"/>
      <w:shd w:val="clear" w:color="auto" w:fill="ffffff"/>
      <w:widowControl w:val="off"/>
    </w:pPr>
    <w:rPr>
      <w:sz w:val="20"/>
      <w:szCs w:val="20"/>
      <w:lang w:val="en-US" w:eastAsia="en-US"/>
    </w:rPr>
  </w:style>
  <w:style w:type="paragraph" w:styleId="654">
    <w:name w:val="Абзац списка"/>
    <w:basedOn w:val="623"/>
    <w:next w:val="654"/>
    <w:link w:val="656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655">
    <w:name w:val="Обычный (веб)"/>
    <w:basedOn w:val="623"/>
    <w:next w:val="655"/>
    <w:link w:val="623"/>
    <w:uiPriority w:val="99"/>
    <w:unhideWhenUsed/>
    <w:pPr>
      <w:spacing w:before="100" w:beforeAutospacing="1" w:after="100" w:afterAutospacing="1"/>
    </w:pPr>
  </w:style>
  <w:style w:type="character" w:styleId="656">
    <w:name w:val="Абзац списка Знак"/>
    <w:next w:val="656"/>
    <w:link w:val="654"/>
    <w:uiPriority w:val="34"/>
    <w:rPr>
      <w:rFonts w:ascii="Calibri" w:hAnsi="Calibri" w:eastAsia="Times New Roman" w:cs="Times New Roman"/>
      <w:sz w:val="22"/>
      <w:szCs w:val="22"/>
    </w:rPr>
  </w:style>
  <w:style w:type="character" w:styleId="657">
    <w:name w:val="Неразрешенное упоминание"/>
    <w:next w:val="657"/>
    <w:link w:val="623"/>
    <w:uiPriority w:val="99"/>
    <w:semiHidden/>
    <w:unhideWhenUsed/>
    <w:rPr>
      <w:color w:val="605e5c"/>
      <w:shd w:val="clear" w:color="auto" w:fill="e1dfdd"/>
    </w:rPr>
  </w:style>
  <w:style w:type="character" w:styleId="658">
    <w:name w:val="Основной текст (3)_"/>
    <w:next w:val="658"/>
    <w:link w:val="660"/>
  </w:style>
  <w:style w:type="character" w:styleId="659">
    <w:name w:val="Другое_"/>
    <w:next w:val="659"/>
    <w:link w:val="661"/>
    <w:rPr>
      <w:sz w:val="26"/>
      <w:szCs w:val="26"/>
    </w:rPr>
  </w:style>
  <w:style w:type="paragraph" w:styleId="660">
    <w:name w:val="Основной текст (3)"/>
    <w:basedOn w:val="623"/>
    <w:next w:val="660"/>
    <w:link w:val="658"/>
    <w:pPr>
      <w:ind w:left="700" w:firstLine="490"/>
      <w:widowControl w:val="off"/>
    </w:pPr>
    <w:rPr>
      <w:sz w:val="20"/>
      <w:szCs w:val="20"/>
    </w:rPr>
  </w:style>
  <w:style w:type="paragraph" w:styleId="661">
    <w:name w:val="Другое"/>
    <w:basedOn w:val="623"/>
    <w:next w:val="661"/>
    <w:link w:val="659"/>
    <w:pPr>
      <w:ind w:firstLine="400"/>
      <w:widowControl w:val="off"/>
    </w:pPr>
    <w:rPr>
      <w:sz w:val="26"/>
      <w:szCs w:val="26"/>
    </w:rPr>
  </w:style>
  <w:style w:type="character" w:styleId="662">
    <w:name w:val="Колонтитул (2)_"/>
    <w:next w:val="662"/>
    <w:link w:val="663"/>
  </w:style>
  <w:style w:type="paragraph" w:styleId="663">
    <w:name w:val="Колонтитул (2)"/>
    <w:basedOn w:val="623"/>
    <w:next w:val="663"/>
    <w:link w:val="662"/>
    <w:pPr>
      <w:widowControl w:val="off"/>
    </w:pPr>
    <w:rPr>
      <w:sz w:val="20"/>
      <w:szCs w:val="20"/>
    </w:rPr>
  </w:style>
  <w:style w:type="character" w:styleId="664">
    <w:name w:val="Сноска_"/>
    <w:next w:val="664"/>
    <w:link w:val="665"/>
  </w:style>
  <w:style w:type="paragraph" w:styleId="665">
    <w:name w:val="Сноска"/>
    <w:basedOn w:val="623"/>
    <w:next w:val="665"/>
    <w:link w:val="664"/>
    <w:pPr>
      <w:widowControl w:val="off"/>
    </w:pPr>
    <w:rPr>
      <w:sz w:val="20"/>
      <w:szCs w:val="20"/>
    </w:rPr>
  </w:style>
  <w:style w:type="paragraph" w:styleId="666">
    <w:name w:val="Верхний колонтитул"/>
    <w:basedOn w:val="623"/>
    <w:next w:val="666"/>
    <w:link w:val="667"/>
    <w:pPr>
      <w:tabs>
        <w:tab w:val="center" w:pos="4677" w:leader="none"/>
        <w:tab w:val="right" w:pos="9355" w:leader="none"/>
      </w:tabs>
    </w:pPr>
  </w:style>
  <w:style w:type="character" w:styleId="667">
    <w:name w:val="Верхний колонтитул Знак"/>
    <w:next w:val="667"/>
    <w:link w:val="666"/>
    <w:rPr>
      <w:sz w:val="24"/>
      <w:szCs w:val="24"/>
    </w:rPr>
  </w:style>
  <w:style w:type="paragraph" w:styleId="668">
    <w:name w:val="Нижний колонтитул"/>
    <w:basedOn w:val="623"/>
    <w:next w:val="668"/>
    <w:link w:val="669"/>
    <w:pPr>
      <w:tabs>
        <w:tab w:val="center" w:pos="4677" w:leader="none"/>
        <w:tab w:val="right" w:pos="9355" w:leader="none"/>
      </w:tabs>
    </w:pPr>
  </w:style>
  <w:style w:type="character" w:styleId="669">
    <w:name w:val="Нижний колонтитул Знак"/>
    <w:next w:val="669"/>
    <w:link w:val="668"/>
    <w:rPr>
      <w:sz w:val="24"/>
      <w:szCs w:val="24"/>
    </w:rPr>
  </w:style>
  <w:style w:type="character" w:styleId="1146" w:default="1">
    <w:name w:val="Default Paragraph Font"/>
    <w:uiPriority w:val="1"/>
    <w:semiHidden/>
    <w:unhideWhenUsed/>
  </w:style>
  <w:style w:type="numbering" w:styleId="1147" w:default="1">
    <w:name w:val="No List"/>
    <w:uiPriority w:val="99"/>
    <w:semiHidden/>
    <w:unhideWhenUsed/>
  </w:style>
  <w:style w:type="table" w:styleId="11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народного образования администрации</dc:title>
  <dc:creator>USER</dc:creator>
  <cp:revision>23</cp:revision>
  <dcterms:created xsi:type="dcterms:W3CDTF">2024-09-18T07:07:00Z</dcterms:created>
  <dcterms:modified xsi:type="dcterms:W3CDTF">2025-01-15T08:59:00Z</dcterms:modified>
  <cp:version>1048576</cp:version>
</cp:coreProperties>
</file>