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A45A" w14:textId="7FDE0C40" w:rsidR="007F43F0" w:rsidRDefault="007F43F0" w:rsidP="007F43F0">
      <w:pPr>
        <w:pStyle w:val="docdata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7F43F0">
        <w:rPr>
          <w:rStyle w:val="1791"/>
          <w:b/>
          <w:bCs/>
          <w:color w:val="000000"/>
          <w:sz w:val="28"/>
          <w:szCs w:val="28"/>
        </w:rPr>
        <w:t>О</w:t>
      </w:r>
      <w:r w:rsidRPr="007F43F0">
        <w:rPr>
          <w:b/>
          <w:bCs/>
          <w:color w:val="000000"/>
          <w:sz w:val="28"/>
          <w:szCs w:val="28"/>
        </w:rPr>
        <w:t> направлении информации о детском дорожно-транспортном травматизме за 2024 г.</w:t>
      </w:r>
    </w:p>
    <w:p w14:paraId="0488E9A4" w14:textId="77777777" w:rsidR="007F43F0" w:rsidRPr="007F43F0" w:rsidRDefault="007F43F0" w:rsidP="007F43F0">
      <w:pPr>
        <w:pStyle w:val="docdata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674C76F" w14:textId="77E05B83" w:rsidR="007F43F0" w:rsidRDefault="007F43F0" w:rsidP="007F43F0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итогам 2024 г. на территории региона обстановка с детским дорожно-транспортным травматизмом остается напряженной. Число ДТП увеличилось на 3,6% (с 527 до 546), погибло семь несовершеннолетних (-63,2%, с 19 до 7), число пострадавших увеличилось на 7,3% (с 578 до 620). Рост дорожно-транспортных происшествий допущен на территории 22 муниципальных и городских округов. Отмечается рост ДТП с участием несовершеннолетних в городских округах Бор, Богородском и </w:t>
      </w:r>
      <w:proofErr w:type="spellStart"/>
      <w:r>
        <w:rPr>
          <w:color w:val="000000"/>
          <w:sz w:val="28"/>
          <w:szCs w:val="28"/>
        </w:rPr>
        <w:t>Шатковском</w:t>
      </w:r>
      <w:proofErr w:type="spellEnd"/>
      <w:r>
        <w:rPr>
          <w:color w:val="000000"/>
          <w:sz w:val="28"/>
          <w:szCs w:val="28"/>
        </w:rPr>
        <w:t xml:space="preserve"> муниципальных округах. В отчетном периоде на 2% (с 202 до 198) снизилось число дорожных происшествий с участием детей-пешеходов. Вместе с тем рост подобных ДТП прослеживается в округах: г. Нижний Новгород, г. Дзержинск, г. Саров, Богородский, </w:t>
      </w:r>
      <w:proofErr w:type="spellStart"/>
      <w:r>
        <w:rPr>
          <w:color w:val="000000"/>
          <w:sz w:val="28"/>
          <w:szCs w:val="28"/>
        </w:rPr>
        <w:t>Вадский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Вачский</w:t>
      </w:r>
      <w:proofErr w:type="spellEnd"/>
      <w:r>
        <w:rPr>
          <w:color w:val="000000"/>
          <w:sz w:val="28"/>
          <w:szCs w:val="28"/>
        </w:rPr>
        <w:t xml:space="preserve">, Воротынский, Воскресенский, </w:t>
      </w:r>
      <w:proofErr w:type="spellStart"/>
      <w:r>
        <w:rPr>
          <w:color w:val="000000"/>
          <w:sz w:val="28"/>
          <w:szCs w:val="28"/>
        </w:rPr>
        <w:t>Дальнеконстантиновский</w:t>
      </w:r>
      <w:proofErr w:type="spellEnd"/>
      <w:r>
        <w:rPr>
          <w:color w:val="000000"/>
          <w:sz w:val="28"/>
          <w:szCs w:val="28"/>
        </w:rPr>
        <w:t xml:space="preserve">, Дивеевский, Семеновский, </w:t>
      </w:r>
      <w:proofErr w:type="spellStart"/>
      <w:r>
        <w:rPr>
          <w:color w:val="000000"/>
          <w:sz w:val="28"/>
          <w:szCs w:val="28"/>
        </w:rPr>
        <w:t>Сергачский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Сеченовский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Шатковский</w:t>
      </w:r>
      <w:proofErr w:type="spellEnd"/>
      <w:r>
        <w:rPr>
          <w:color w:val="000000"/>
          <w:sz w:val="28"/>
          <w:szCs w:val="28"/>
        </w:rPr>
        <w:t xml:space="preserve">. Число автоаварий из-за неосторожного поведения пешеходов осталось на уровне прошлого года (74), в которых 1 ребенок погиб, 78 несовершеннолетних пострадали. По итогам 2024 г. зарегистрировано 49 дорожно-транспортных происшествий при нахождении детей на безопасных маршрутах «Дом-школа-дом». Наблюдается увеличение на 5,2% (с 211 до 222) числа аварий с участием детей-пассажиров. Рост подобных ДТП зафиксирован в округах: г. Арзамас, г. Бор, г. Шахунья, г. Выкса, </w:t>
      </w:r>
      <w:proofErr w:type="spellStart"/>
      <w:r>
        <w:rPr>
          <w:color w:val="000000"/>
          <w:sz w:val="28"/>
          <w:szCs w:val="28"/>
        </w:rPr>
        <w:t>Большемурашкинский</w:t>
      </w:r>
      <w:proofErr w:type="spellEnd"/>
      <w:r>
        <w:rPr>
          <w:color w:val="000000"/>
          <w:sz w:val="28"/>
          <w:szCs w:val="28"/>
        </w:rPr>
        <w:t xml:space="preserve">, Богородский, </w:t>
      </w:r>
      <w:proofErr w:type="spellStart"/>
      <w:r>
        <w:rPr>
          <w:color w:val="000000"/>
          <w:sz w:val="28"/>
          <w:szCs w:val="28"/>
        </w:rPr>
        <w:t>Вачский</w:t>
      </w:r>
      <w:proofErr w:type="spellEnd"/>
      <w:r>
        <w:rPr>
          <w:color w:val="000000"/>
          <w:sz w:val="28"/>
          <w:szCs w:val="28"/>
        </w:rPr>
        <w:t xml:space="preserve">, Вознесенский, Воскресенский, Городецкий, Дивеевский, </w:t>
      </w:r>
      <w:proofErr w:type="spellStart"/>
      <w:r>
        <w:rPr>
          <w:color w:val="000000"/>
          <w:sz w:val="28"/>
          <w:szCs w:val="28"/>
        </w:rPr>
        <w:t>Княгининский</w:t>
      </w:r>
      <w:proofErr w:type="spellEnd"/>
      <w:r>
        <w:rPr>
          <w:color w:val="000000"/>
          <w:sz w:val="28"/>
          <w:szCs w:val="28"/>
        </w:rPr>
        <w:t xml:space="preserve">, Краснобаковский, </w:t>
      </w:r>
      <w:proofErr w:type="spellStart"/>
      <w:r>
        <w:rPr>
          <w:color w:val="000000"/>
          <w:sz w:val="28"/>
          <w:szCs w:val="28"/>
        </w:rPr>
        <w:t>Навашинский</w:t>
      </w:r>
      <w:proofErr w:type="spellEnd"/>
      <w:r>
        <w:rPr>
          <w:color w:val="000000"/>
          <w:sz w:val="28"/>
          <w:szCs w:val="28"/>
        </w:rPr>
        <w:t xml:space="preserve">, Павловский, </w:t>
      </w:r>
      <w:proofErr w:type="spellStart"/>
      <w:r>
        <w:rPr>
          <w:color w:val="000000"/>
          <w:sz w:val="28"/>
          <w:szCs w:val="28"/>
        </w:rPr>
        <w:t>Сергачский</w:t>
      </w:r>
      <w:proofErr w:type="spellEnd"/>
      <w:r>
        <w:rPr>
          <w:color w:val="000000"/>
          <w:sz w:val="28"/>
          <w:szCs w:val="28"/>
        </w:rPr>
        <w:t xml:space="preserve">, Сокольский, Сосновский, Спасский, </w:t>
      </w:r>
      <w:proofErr w:type="spellStart"/>
      <w:r>
        <w:rPr>
          <w:color w:val="000000"/>
          <w:sz w:val="28"/>
          <w:szCs w:val="28"/>
        </w:rPr>
        <w:t>Тоншаевский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Шатковский</w:t>
      </w:r>
      <w:proofErr w:type="spellEnd"/>
      <w:r>
        <w:rPr>
          <w:color w:val="000000"/>
          <w:sz w:val="28"/>
          <w:szCs w:val="28"/>
        </w:rPr>
        <w:t xml:space="preserve">. Кроме того, в 33 автоавариях несовершеннолетние пассажиры получили травмы в результате нарушения требований к их перевозке. За истекший период произошло 56 (+1,8%, 55) ДТП с участием несовершеннолетних велосипедистов, в которых 1 (-50%, 2) ребенок погиб, 56 (+3,7%, 54) подростков получили травмы. Количество ДТП по неосторожности детей увеличилось на 13,7% (с 168 до 191), погибло 2 детей. Число пострадавших детей также увеличилось на 17,6% (с 170 до 200). Рост подобных происшествий наблюдается в округах: Нижний Новгород, Дзержинск, Саров, Чкаловск, </w:t>
      </w:r>
      <w:proofErr w:type="spellStart"/>
      <w:r>
        <w:rPr>
          <w:color w:val="000000"/>
          <w:sz w:val="28"/>
          <w:szCs w:val="28"/>
        </w:rPr>
        <w:t>Ардатовский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Балахнинский</w:t>
      </w:r>
      <w:proofErr w:type="spellEnd"/>
      <w:r>
        <w:rPr>
          <w:color w:val="000000"/>
          <w:sz w:val="28"/>
          <w:szCs w:val="28"/>
        </w:rPr>
        <w:t xml:space="preserve">, Богородский, </w:t>
      </w:r>
      <w:proofErr w:type="spellStart"/>
      <w:r>
        <w:rPr>
          <w:color w:val="000000"/>
          <w:sz w:val="28"/>
          <w:szCs w:val="28"/>
        </w:rPr>
        <w:t>Вадский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Вачский</w:t>
      </w:r>
      <w:proofErr w:type="spellEnd"/>
      <w:r>
        <w:rPr>
          <w:color w:val="000000"/>
          <w:sz w:val="28"/>
          <w:szCs w:val="28"/>
        </w:rPr>
        <w:t xml:space="preserve">, Воскресенский, </w:t>
      </w:r>
      <w:proofErr w:type="spellStart"/>
      <w:r>
        <w:rPr>
          <w:color w:val="000000"/>
          <w:sz w:val="28"/>
          <w:szCs w:val="28"/>
        </w:rPr>
        <w:t>Гагинский</w:t>
      </w:r>
      <w:proofErr w:type="spellEnd"/>
      <w:r>
        <w:rPr>
          <w:color w:val="000000"/>
          <w:sz w:val="28"/>
          <w:szCs w:val="28"/>
        </w:rPr>
        <w:t xml:space="preserve">, Дивеевский, Краснобаковский, </w:t>
      </w:r>
      <w:proofErr w:type="spellStart"/>
      <w:r>
        <w:rPr>
          <w:color w:val="000000"/>
          <w:sz w:val="28"/>
          <w:szCs w:val="28"/>
        </w:rPr>
        <w:t>Кстовский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Лысковский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Навашинский</w:t>
      </w:r>
      <w:proofErr w:type="spellEnd"/>
      <w:r>
        <w:rPr>
          <w:color w:val="000000"/>
          <w:sz w:val="28"/>
          <w:szCs w:val="28"/>
        </w:rPr>
        <w:t xml:space="preserve">, Павловский, </w:t>
      </w:r>
      <w:proofErr w:type="spellStart"/>
      <w:r>
        <w:rPr>
          <w:color w:val="000000"/>
          <w:sz w:val="28"/>
          <w:szCs w:val="28"/>
        </w:rPr>
        <w:t>Пильнинский</w:t>
      </w:r>
      <w:proofErr w:type="spellEnd"/>
      <w:r>
        <w:rPr>
          <w:color w:val="000000"/>
          <w:sz w:val="28"/>
          <w:szCs w:val="28"/>
        </w:rPr>
        <w:t xml:space="preserve">, Семеновский, </w:t>
      </w:r>
      <w:proofErr w:type="spellStart"/>
      <w:r>
        <w:rPr>
          <w:color w:val="000000"/>
          <w:sz w:val="28"/>
          <w:szCs w:val="28"/>
        </w:rPr>
        <w:t>Сергачский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Уренский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Шатковский</w:t>
      </w:r>
      <w:proofErr w:type="spellEnd"/>
      <w:r>
        <w:rPr>
          <w:color w:val="000000"/>
          <w:sz w:val="28"/>
          <w:szCs w:val="28"/>
        </w:rPr>
        <w:t>.</w:t>
      </w:r>
    </w:p>
    <w:p w14:paraId="662F3BDB" w14:textId="77777777" w:rsidR="00A719DA" w:rsidRDefault="00A719DA"/>
    <w:sectPr w:rsidR="00A7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E9"/>
    <w:rsid w:val="001761E9"/>
    <w:rsid w:val="007F43F0"/>
    <w:rsid w:val="00A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E5C"/>
  <w15:chartTrackingRefBased/>
  <w15:docId w15:val="{61D2E40C-9BDA-4C52-B4BF-D3743A01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797,bqiaagaaeyqcaaagiaiaaaprfwaabfkxaaaaaaaaaaaaaaaaaaaaaaaaaaaaaaaaaaaaaaaaaaaaaaaaaaaaaaaaaaaaaaaaaaaaaaaaaaaaaaaaaaaaaaaaaaaaaaaaaaaaaaaaaaaaaaaaaaaaaaaaaaaaaaaaaaaaaaaaaaaaaaaaaaaaaaaaaaaaaaaaaaaaaaaaaaaaaaaaaaaaaaaaaaaaaaaaaaaaaaaa"/>
    <w:basedOn w:val="a"/>
    <w:rsid w:val="007F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91">
    <w:name w:val="1791"/>
    <w:aliases w:val="bqiaagaaeyqcaaagiaiaaandbaaabwseaaaaaaaaaaaaaaaaaaaaaaaaaaaaaaaaaaaaaaaaaaaaaaaaaaaaaaaaaaaaaaaaaaaaaaaaaaaaaaaaaaaaaaaaaaaaaaaaaaaaaaaaaaaaaaaaaaaaaaaaaaaaaaaaaaaaaaaaaaaaaaaaaaaaaaaaaaaaaaaaaaaaaaaaaaaaaaaaaaaaaaaaaaaaaaaaaaaaaaaa"/>
    <w:basedOn w:val="a0"/>
    <w:rsid w:val="007F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2025-02-04T07:24:00Z</dcterms:created>
  <dcterms:modified xsi:type="dcterms:W3CDTF">2025-02-04T07:25:00Z</dcterms:modified>
</cp:coreProperties>
</file>